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75" w:rsidRDefault="00457C1E">
      <w:r>
        <w:rPr>
          <w:rFonts w:ascii="Times New Roman" w:eastAsia="Times New Roman" w:hAnsi="Times New Roman" w:cs="Times New Roman"/>
          <w:b/>
          <w:bCs/>
          <w:noProof/>
          <w:kern w:val="36"/>
          <w:sz w:val="48"/>
          <w:szCs w:val="48"/>
        </w:rPr>
        <w:drawing>
          <wp:inline distT="0" distB="0" distL="0" distR="0" wp14:anchorId="0689DAC5" wp14:editId="719A5F47">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457C1E" w:rsidRPr="009C7AA1" w:rsidRDefault="00457C1E">
      <w:pPr>
        <w:rPr>
          <w:rStyle w:val="subheading1"/>
          <w:color w:val="auto"/>
        </w:rPr>
      </w:pPr>
      <w:r w:rsidRPr="009C7AA1">
        <w:rPr>
          <w:rStyle w:val="heading10"/>
          <w:color w:val="auto"/>
          <w:sz w:val="48"/>
          <w:szCs w:val="48"/>
        </w:rPr>
        <w:t>#3 Information and Data Privacy</w:t>
      </w:r>
      <w:r w:rsidRPr="009C7AA1">
        <w:br/>
      </w:r>
      <w:r w:rsidRPr="009C7AA1">
        <w:rPr>
          <w:rStyle w:val="subheading1"/>
          <w:color w:val="auto"/>
        </w:rPr>
        <w:t>Adopt and maintain a written privacy and information security program to protect Non-public Personal Information as required by local, state and federal law.</w:t>
      </w: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9"/>
        <w:gridCol w:w="270"/>
        <w:gridCol w:w="5517"/>
      </w:tblGrid>
      <w:tr w:rsidR="00457C1E" w:rsidTr="00F30EFC">
        <w:tc>
          <w:tcPr>
            <w:tcW w:w="11088" w:type="dxa"/>
            <w:gridSpan w:val="3"/>
          </w:tcPr>
          <w:p w:rsidR="00457C1E" w:rsidRPr="00162485" w:rsidRDefault="00457C1E" w:rsidP="00F30EFC">
            <w:pPr>
              <w:pStyle w:val="Heading1"/>
              <w:spacing w:before="0" w:beforeAutospacing="0" w:after="0" w:afterAutospacing="0"/>
              <w:outlineLvl w:val="0"/>
            </w:pPr>
            <w:r w:rsidRPr="00162485">
              <w:t>Purpose</w:t>
            </w:r>
          </w:p>
          <w:p w:rsidR="00457C1E" w:rsidRDefault="00457C1E" w:rsidP="00F30EFC">
            <w:pPr>
              <w:jc w:val="both"/>
              <w:rPr>
                <w:b/>
                <w:color w:val="FFC425"/>
                <w:szCs w:val="20"/>
              </w:rPr>
            </w:pPr>
            <w:r w:rsidRPr="00672C0B">
              <w:rPr>
                <w:rFonts w:ascii="Arial" w:hAnsi="Arial" w:cs="Arial"/>
                <w:szCs w:val="20"/>
              </w:rPr>
              <w:t xml:space="preserve">Federal and state laws (including the Gramm-Leach-Bliley Act) require title companies to develop a written information security program that describes the procedures </w:t>
            </w:r>
            <w:r>
              <w:rPr>
                <w:rFonts w:ascii="Arial" w:hAnsi="Arial" w:cs="Arial"/>
                <w:szCs w:val="20"/>
              </w:rPr>
              <w:t xml:space="preserve">they employ </w:t>
            </w:r>
            <w:r w:rsidRPr="00672C0B">
              <w:rPr>
                <w:rFonts w:ascii="Arial" w:hAnsi="Arial" w:cs="Arial"/>
                <w:szCs w:val="20"/>
              </w:rPr>
              <w:t>to protect Non-public Personal Information. The program must be appropriate to the Company’s size and complexity, the nature and scope of the Company’s activities, and the sensitivity of the customer information the Company handles. A Company evaluates and adjusts its program in light of relevant circumstances, including changes in the Company’s business or operations, or the results of security testing and monitoring.</w:t>
            </w:r>
          </w:p>
        </w:tc>
      </w:tr>
      <w:tr w:rsidR="00457C1E" w:rsidRPr="004758A6" w:rsidTr="009C7AA1">
        <w:trPr>
          <w:trHeight w:val="1455"/>
        </w:trPr>
        <w:tc>
          <w:tcPr>
            <w:tcW w:w="5310" w:type="dxa"/>
          </w:tcPr>
          <w:p w:rsidR="00457C1E" w:rsidRDefault="00457C1E" w:rsidP="00F30EFC">
            <w:pPr>
              <w:pStyle w:val="Heading1"/>
              <w:spacing w:before="0" w:beforeAutospacing="0" w:after="0" w:afterAutospacing="0"/>
              <w:jc w:val="both"/>
              <w:outlineLvl w:val="0"/>
            </w:pPr>
            <w:r w:rsidRPr="00FF3588">
              <w:t>What You Should Know</w:t>
            </w:r>
          </w:p>
          <w:p w:rsidR="00457C1E" w:rsidRPr="0011085D" w:rsidRDefault="00457C1E" w:rsidP="00F30EFC">
            <w:pPr>
              <w:rPr>
                <w:rFonts w:cs="Segoe UI"/>
                <w:sz w:val="18"/>
                <w:szCs w:val="18"/>
              </w:rPr>
            </w:pPr>
            <w:r>
              <w:rPr>
                <w:rFonts w:cs="Segoe UI"/>
                <w:sz w:val="18"/>
                <w:szCs w:val="18"/>
              </w:rPr>
              <w:t>A</w:t>
            </w:r>
            <w:r w:rsidRPr="0011085D">
              <w:rPr>
                <w:rFonts w:cs="Segoe UI"/>
                <w:sz w:val="18"/>
                <w:szCs w:val="18"/>
              </w:rPr>
              <w:t xml:space="preserve">n attorney </w:t>
            </w:r>
            <w:r>
              <w:rPr>
                <w:rFonts w:cs="Segoe UI"/>
                <w:sz w:val="18"/>
                <w:szCs w:val="18"/>
              </w:rPr>
              <w:t xml:space="preserve">is required to </w:t>
            </w:r>
            <w:r w:rsidRPr="0011085D">
              <w:rPr>
                <w:rFonts w:cs="Segoe UI"/>
                <w:sz w:val="18"/>
                <w:szCs w:val="18"/>
              </w:rPr>
              <w:t>protect the confidentiality of all client matters, including information in paper and electronic media.</w:t>
            </w:r>
            <w:r>
              <w:rPr>
                <w:rFonts w:cs="Segoe UI"/>
                <w:sz w:val="18"/>
                <w:szCs w:val="18"/>
              </w:rPr>
              <w:t xml:space="preserve">  Rule 1.6, Confidentiality of Information, of the Revised Rules of Professional Conduct.</w:t>
            </w:r>
          </w:p>
          <w:p w:rsidR="00457C1E" w:rsidRPr="0011085D" w:rsidRDefault="00457C1E" w:rsidP="00F30EFC">
            <w:pPr>
              <w:rPr>
                <w:rFonts w:cs="Segoe UI"/>
                <w:sz w:val="18"/>
                <w:szCs w:val="18"/>
              </w:rPr>
            </w:pPr>
          </w:p>
          <w:p w:rsidR="00457C1E" w:rsidRDefault="00457C1E" w:rsidP="00F30EFC">
            <w:pPr>
              <w:contextualSpacing/>
              <w:jc w:val="both"/>
              <w:rPr>
                <w:rFonts w:cs="Segoe UI"/>
                <w:sz w:val="18"/>
                <w:szCs w:val="18"/>
              </w:rPr>
            </w:pPr>
            <w:r w:rsidRPr="0011085D">
              <w:rPr>
                <w:rFonts w:cs="Segoe UI"/>
                <w:sz w:val="18"/>
                <w:szCs w:val="18"/>
              </w:rPr>
              <w:t xml:space="preserve">The Federal Trade Commission defines NPI as: </w:t>
            </w:r>
          </w:p>
          <w:p w:rsidR="00457C1E" w:rsidRDefault="00457C1E" w:rsidP="00457C1E">
            <w:pPr>
              <w:pStyle w:val="ListParagraph"/>
              <w:numPr>
                <w:ilvl w:val="0"/>
                <w:numId w:val="4"/>
              </w:numPr>
              <w:spacing w:before="0" w:after="0"/>
              <w:jc w:val="both"/>
              <w:rPr>
                <w:rFonts w:ascii="Segoe UI" w:hAnsi="Segoe UI" w:cs="Segoe UI"/>
                <w:sz w:val="18"/>
                <w:szCs w:val="18"/>
              </w:rPr>
            </w:pPr>
            <w:r w:rsidRPr="00690DBF">
              <w:rPr>
                <w:rFonts w:ascii="Segoe UI" w:hAnsi="Segoe UI" w:cs="Segoe UI"/>
                <w:sz w:val="18"/>
                <w:szCs w:val="18"/>
              </w:rPr>
              <w:t>any information an individual gives you to get a financial product or service (for example, name, address, income, Social Security number, or other information on an application);</w:t>
            </w:r>
          </w:p>
          <w:p w:rsidR="00457C1E" w:rsidRDefault="00457C1E" w:rsidP="00457C1E">
            <w:pPr>
              <w:pStyle w:val="ListParagraph"/>
              <w:numPr>
                <w:ilvl w:val="0"/>
                <w:numId w:val="4"/>
              </w:numPr>
              <w:spacing w:before="0" w:after="0"/>
              <w:jc w:val="both"/>
              <w:rPr>
                <w:rFonts w:ascii="Segoe UI" w:hAnsi="Segoe UI" w:cs="Segoe UI"/>
                <w:sz w:val="18"/>
                <w:szCs w:val="18"/>
              </w:rPr>
            </w:pPr>
            <w:r w:rsidRPr="00690DBF">
              <w:rPr>
                <w:rFonts w:ascii="Segoe UI" w:hAnsi="Segoe UI" w:cs="Segoe UI"/>
                <w:sz w:val="18"/>
                <w:szCs w:val="18"/>
              </w:rPr>
              <w:t>any information you get about an individual from a transaction involving your financial product(s) or service(s) (for example, the fact that an individual is your consumer or customer, account numbers, payment history, loan or deposit balances, and credit or debit card purchases); or</w:t>
            </w:r>
          </w:p>
          <w:p w:rsidR="00457C1E" w:rsidRPr="00690DBF" w:rsidRDefault="00457C1E" w:rsidP="00457C1E">
            <w:pPr>
              <w:pStyle w:val="ListParagraph"/>
              <w:numPr>
                <w:ilvl w:val="0"/>
                <w:numId w:val="4"/>
              </w:numPr>
              <w:spacing w:before="0" w:after="0"/>
              <w:jc w:val="both"/>
              <w:rPr>
                <w:rFonts w:ascii="Segoe UI" w:hAnsi="Segoe UI" w:cs="Segoe UI"/>
                <w:sz w:val="18"/>
                <w:szCs w:val="18"/>
              </w:rPr>
            </w:pPr>
            <w:proofErr w:type="gramStart"/>
            <w:r w:rsidRPr="00690DBF">
              <w:rPr>
                <w:rFonts w:ascii="Segoe UI" w:hAnsi="Segoe UI" w:cs="Segoe UI"/>
                <w:sz w:val="18"/>
                <w:szCs w:val="18"/>
              </w:rPr>
              <w:t>any</w:t>
            </w:r>
            <w:proofErr w:type="gramEnd"/>
            <w:r w:rsidRPr="00690DBF">
              <w:rPr>
                <w:rFonts w:ascii="Segoe UI" w:hAnsi="Segoe UI" w:cs="Segoe UI"/>
                <w:sz w:val="18"/>
                <w:szCs w:val="18"/>
              </w:rPr>
              <w:t xml:space="preserve"> information you get about an individual in connection with providing a financial product or service (for example, information from court records or from a consumer report).</w:t>
            </w:r>
          </w:p>
          <w:p w:rsidR="00457C1E" w:rsidRPr="0011085D" w:rsidRDefault="00457C1E" w:rsidP="00F30EFC">
            <w:pPr>
              <w:pStyle w:val="ListParagraph"/>
              <w:spacing w:before="0" w:after="0"/>
              <w:jc w:val="both"/>
              <w:rPr>
                <w:rFonts w:ascii="Segoe UI" w:hAnsi="Segoe UI" w:cs="Segoe UI"/>
                <w:sz w:val="18"/>
                <w:szCs w:val="18"/>
              </w:rPr>
            </w:pPr>
          </w:p>
          <w:p w:rsidR="00457C1E" w:rsidRPr="0011085D" w:rsidRDefault="00457C1E" w:rsidP="00F30EFC">
            <w:pPr>
              <w:jc w:val="both"/>
              <w:rPr>
                <w:rFonts w:cs="Segoe UI"/>
                <w:sz w:val="18"/>
                <w:szCs w:val="18"/>
              </w:rPr>
            </w:pPr>
            <w:r w:rsidRPr="0011085D">
              <w:rPr>
                <w:rFonts w:cs="Segoe UI"/>
                <w:sz w:val="18"/>
                <w:szCs w:val="18"/>
              </w:rPr>
              <w:t>Examples of NPI include:</w:t>
            </w:r>
          </w:p>
          <w:p w:rsidR="00457C1E" w:rsidRPr="0011085D" w:rsidRDefault="00457C1E" w:rsidP="00457C1E">
            <w:pPr>
              <w:pStyle w:val="ListParagraph"/>
              <w:numPr>
                <w:ilvl w:val="0"/>
                <w:numId w:val="1"/>
              </w:numPr>
              <w:spacing w:before="0" w:after="0"/>
              <w:contextualSpacing w:val="0"/>
              <w:jc w:val="both"/>
              <w:rPr>
                <w:rFonts w:ascii="Segoe UI" w:hAnsi="Segoe UI" w:cs="Segoe UI"/>
                <w:sz w:val="18"/>
                <w:szCs w:val="18"/>
              </w:rPr>
            </w:pPr>
            <w:r w:rsidRPr="0011085D">
              <w:rPr>
                <w:rFonts w:ascii="Segoe UI" w:hAnsi="Segoe UI" w:cs="Segoe UI"/>
                <w:sz w:val="18"/>
                <w:szCs w:val="18"/>
              </w:rPr>
              <w:t xml:space="preserve">bank, loan payoff and credit card statements; </w:t>
            </w:r>
          </w:p>
          <w:p w:rsidR="00457C1E" w:rsidRPr="0011085D" w:rsidRDefault="00457C1E" w:rsidP="00457C1E">
            <w:pPr>
              <w:pStyle w:val="ListParagraph"/>
              <w:numPr>
                <w:ilvl w:val="0"/>
                <w:numId w:val="1"/>
              </w:numPr>
              <w:spacing w:before="0" w:after="0"/>
              <w:contextualSpacing w:val="0"/>
              <w:jc w:val="both"/>
              <w:rPr>
                <w:rFonts w:ascii="Segoe UI" w:hAnsi="Segoe UI" w:cs="Segoe UI"/>
                <w:sz w:val="18"/>
                <w:szCs w:val="18"/>
              </w:rPr>
            </w:pPr>
            <w:r w:rsidRPr="0011085D">
              <w:rPr>
                <w:rFonts w:ascii="Segoe UI" w:hAnsi="Segoe UI" w:cs="Segoe UI"/>
                <w:sz w:val="18"/>
                <w:szCs w:val="18"/>
              </w:rPr>
              <w:t>insurance, retirement and tax information;</w:t>
            </w:r>
          </w:p>
          <w:p w:rsidR="00457C1E" w:rsidRPr="0011085D" w:rsidRDefault="00457C1E" w:rsidP="00457C1E">
            <w:pPr>
              <w:pStyle w:val="ListParagraph"/>
              <w:numPr>
                <w:ilvl w:val="0"/>
                <w:numId w:val="1"/>
              </w:numPr>
              <w:spacing w:before="0" w:after="0"/>
              <w:jc w:val="both"/>
              <w:rPr>
                <w:rFonts w:ascii="Segoe UI" w:hAnsi="Segoe UI" w:cs="Segoe UI"/>
                <w:sz w:val="18"/>
                <w:szCs w:val="18"/>
              </w:rPr>
            </w:pPr>
            <w:r w:rsidRPr="0011085D">
              <w:rPr>
                <w:rFonts w:ascii="Segoe UI" w:hAnsi="Segoe UI" w:cs="Segoe UI"/>
                <w:sz w:val="18"/>
                <w:szCs w:val="18"/>
              </w:rPr>
              <w:t>Social Security numbers and dates of birth; and</w:t>
            </w:r>
          </w:p>
          <w:p w:rsidR="00457C1E" w:rsidRPr="0011085D" w:rsidRDefault="00457C1E" w:rsidP="00457C1E">
            <w:pPr>
              <w:pStyle w:val="ListParagraph"/>
              <w:numPr>
                <w:ilvl w:val="0"/>
                <w:numId w:val="1"/>
              </w:numPr>
              <w:spacing w:before="0" w:after="0"/>
              <w:jc w:val="both"/>
              <w:rPr>
                <w:rFonts w:ascii="Segoe UI" w:hAnsi="Segoe UI" w:cs="Segoe UI"/>
                <w:sz w:val="18"/>
                <w:szCs w:val="18"/>
              </w:rPr>
            </w:pPr>
            <w:proofErr w:type="gramStart"/>
            <w:r w:rsidRPr="0011085D">
              <w:rPr>
                <w:rFonts w:ascii="Segoe UI" w:hAnsi="Segoe UI" w:cs="Segoe UI"/>
                <w:sz w:val="18"/>
                <w:szCs w:val="18"/>
              </w:rPr>
              <w:t>real</w:t>
            </w:r>
            <w:proofErr w:type="gramEnd"/>
            <w:r w:rsidRPr="0011085D">
              <w:rPr>
                <w:rFonts w:ascii="Segoe UI" w:hAnsi="Segoe UI" w:cs="Segoe UI"/>
                <w:sz w:val="18"/>
                <w:szCs w:val="18"/>
              </w:rPr>
              <w:t xml:space="preserve"> estate/title related items, commission amounts and loan fees.</w:t>
            </w:r>
          </w:p>
          <w:p w:rsidR="00457C1E" w:rsidRDefault="00457C1E" w:rsidP="00F30EFC">
            <w:pPr>
              <w:jc w:val="both"/>
              <w:rPr>
                <w:rFonts w:cs="Segoe UI"/>
                <w:sz w:val="18"/>
                <w:szCs w:val="18"/>
              </w:rPr>
            </w:pPr>
            <w:r w:rsidRPr="0011085D">
              <w:rPr>
                <w:rFonts w:cs="Segoe UI"/>
                <w:sz w:val="18"/>
                <w:szCs w:val="18"/>
              </w:rPr>
              <w:t>There are many sources within a company where NPI can be found. Physical locations such as paper-based files, desktop or reception area, the closing table and warehouse. With the widespread use of smart phones, be vigilant of the documents visible to anyone other than vetted employees, such as at the closing table.</w:t>
            </w:r>
          </w:p>
          <w:p w:rsidR="00457C1E" w:rsidRDefault="00457C1E" w:rsidP="00F30EFC">
            <w:pPr>
              <w:jc w:val="both"/>
              <w:rPr>
                <w:rFonts w:cs="Segoe UI"/>
                <w:sz w:val="18"/>
                <w:szCs w:val="18"/>
              </w:rPr>
            </w:pPr>
          </w:p>
          <w:p w:rsidR="00457C1E" w:rsidRPr="00085955" w:rsidRDefault="00457C1E" w:rsidP="00F30EFC">
            <w:pPr>
              <w:contextualSpacing/>
              <w:jc w:val="both"/>
              <w:rPr>
                <w:rFonts w:cs="Segoe UI"/>
                <w:sz w:val="18"/>
                <w:szCs w:val="18"/>
              </w:rPr>
            </w:pPr>
            <w:r w:rsidRPr="00085955">
              <w:rPr>
                <w:rFonts w:cs="Segoe UI"/>
                <w:sz w:val="18"/>
                <w:szCs w:val="18"/>
              </w:rPr>
              <w:lastRenderedPageBreak/>
              <w:t xml:space="preserve">There are also many electronic locations where NPI is housed. These include: </w:t>
            </w:r>
          </w:p>
          <w:p w:rsidR="00457C1E" w:rsidRPr="00085955" w:rsidRDefault="00457C1E" w:rsidP="00457C1E">
            <w:pPr>
              <w:pStyle w:val="ListParagraph"/>
              <w:numPr>
                <w:ilvl w:val="0"/>
                <w:numId w:val="1"/>
              </w:numPr>
              <w:spacing w:before="0" w:after="0"/>
              <w:jc w:val="both"/>
              <w:rPr>
                <w:rFonts w:ascii="Segoe UI" w:hAnsi="Segoe UI" w:cs="Segoe UI"/>
                <w:sz w:val="18"/>
                <w:szCs w:val="18"/>
              </w:rPr>
            </w:pPr>
            <w:r w:rsidRPr="00085955">
              <w:rPr>
                <w:rFonts w:ascii="Segoe UI" w:hAnsi="Segoe UI" w:cs="Segoe UI"/>
                <w:sz w:val="18"/>
                <w:szCs w:val="18"/>
              </w:rPr>
              <w:t xml:space="preserve">Computers, </w:t>
            </w:r>
            <w:r>
              <w:rPr>
                <w:rFonts w:ascii="Segoe UI" w:hAnsi="Segoe UI" w:cs="Segoe UI"/>
                <w:sz w:val="18"/>
                <w:szCs w:val="18"/>
              </w:rPr>
              <w:t xml:space="preserve">laptops, </w:t>
            </w:r>
            <w:proofErr w:type="spellStart"/>
            <w:r>
              <w:rPr>
                <w:rFonts w:ascii="Segoe UI" w:hAnsi="Segoe UI" w:cs="Segoe UI"/>
                <w:sz w:val="18"/>
                <w:szCs w:val="18"/>
              </w:rPr>
              <w:t>ipads</w:t>
            </w:r>
            <w:proofErr w:type="spellEnd"/>
            <w:r>
              <w:rPr>
                <w:rFonts w:ascii="Segoe UI" w:hAnsi="Segoe UI" w:cs="Segoe UI"/>
                <w:sz w:val="18"/>
                <w:szCs w:val="18"/>
              </w:rPr>
              <w:t xml:space="preserve">, flash/thumb drives, </w:t>
            </w:r>
            <w:r w:rsidRPr="00085955">
              <w:rPr>
                <w:rFonts w:ascii="Segoe UI" w:hAnsi="Segoe UI" w:cs="Segoe UI"/>
                <w:sz w:val="18"/>
                <w:szCs w:val="18"/>
              </w:rPr>
              <w:t>network servers, email servers, instant messaging servers, fax servers, copy machines with internal hard drives or network storage devices, web servers, etc.</w:t>
            </w:r>
          </w:p>
          <w:p w:rsidR="00457C1E" w:rsidRPr="00085955" w:rsidRDefault="00457C1E" w:rsidP="00457C1E">
            <w:pPr>
              <w:pStyle w:val="ListParagraph"/>
              <w:numPr>
                <w:ilvl w:val="0"/>
                <w:numId w:val="1"/>
              </w:numPr>
              <w:spacing w:before="0" w:after="0"/>
              <w:jc w:val="both"/>
              <w:rPr>
                <w:rFonts w:ascii="Segoe UI" w:hAnsi="Segoe UI" w:cs="Segoe UI"/>
                <w:sz w:val="18"/>
                <w:szCs w:val="18"/>
              </w:rPr>
            </w:pPr>
            <w:r w:rsidRPr="00085955">
              <w:rPr>
                <w:rFonts w:ascii="Segoe UI" w:hAnsi="Segoe UI" w:cs="Segoe UI"/>
                <w:sz w:val="18"/>
                <w:szCs w:val="18"/>
              </w:rPr>
              <w:t>Cloud storage (e.g., Google, Dropbox)</w:t>
            </w:r>
          </w:p>
          <w:p w:rsidR="00457C1E" w:rsidRPr="00085955" w:rsidRDefault="00457C1E" w:rsidP="00457C1E">
            <w:pPr>
              <w:pStyle w:val="ListParagraph"/>
              <w:numPr>
                <w:ilvl w:val="0"/>
                <w:numId w:val="1"/>
              </w:numPr>
              <w:spacing w:before="0" w:after="0"/>
              <w:jc w:val="both"/>
              <w:rPr>
                <w:rFonts w:ascii="Segoe UI" w:hAnsi="Segoe UI" w:cs="Segoe UI"/>
                <w:sz w:val="18"/>
                <w:szCs w:val="18"/>
              </w:rPr>
            </w:pPr>
            <w:r w:rsidRPr="00085955">
              <w:rPr>
                <w:rFonts w:ascii="Segoe UI" w:hAnsi="Segoe UI" w:cs="Segoe UI"/>
                <w:sz w:val="18"/>
                <w:szCs w:val="18"/>
              </w:rPr>
              <w:t>Backup tapes; online backup services</w:t>
            </w:r>
          </w:p>
          <w:p w:rsidR="00457C1E" w:rsidRPr="00085955" w:rsidRDefault="00457C1E" w:rsidP="00457C1E">
            <w:pPr>
              <w:pStyle w:val="ListParagraph"/>
              <w:numPr>
                <w:ilvl w:val="0"/>
                <w:numId w:val="1"/>
              </w:numPr>
              <w:spacing w:before="0" w:after="0"/>
              <w:jc w:val="both"/>
              <w:rPr>
                <w:rFonts w:ascii="Segoe UI" w:hAnsi="Segoe UI" w:cs="Segoe UI"/>
                <w:sz w:val="18"/>
                <w:szCs w:val="18"/>
              </w:rPr>
            </w:pPr>
            <w:r w:rsidRPr="00085955">
              <w:rPr>
                <w:rFonts w:ascii="Segoe UI" w:hAnsi="Segoe UI" w:cs="Segoe UI"/>
                <w:sz w:val="18"/>
                <w:szCs w:val="18"/>
              </w:rPr>
              <w:t>User-provided devices/media (e.g., smart phones, tablets, USB storage devices)</w:t>
            </w:r>
          </w:p>
          <w:p w:rsidR="00457C1E" w:rsidRDefault="00457C1E" w:rsidP="00F30EFC">
            <w:pPr>
              <w:pStyle w:val="NoSpacing"/>
              <w:rPr>
                <w:rFonts w:cs="Segoe UI"/>
                <w:sz w:val="18"/>
              </w:rPr>
            </w:pPr>
            <w:r w:rsidRPr="00085955">
              <w:rPr>
                <w:rFonts w:cs="Segoe UI"/>
                <w:sz w:val="18"/>
              </w:rPr>
              <w:t>Additionally, NPI can be found and in possession of vendors a company may utilize. These include notaries, couriers, online backup services or off-site backup tape storage vendors, email service providers, and server and website hosts. Take reasonable steps to select and retain service providers that are capable of appropriately safeguarding NPI.</w:t>
            </w:r>
          </w:p>
          <w:p w:rsidR="00457C1E" w:rsidRDefault="00457C1E" w:rsidP="00F30EFC">
            <w:pPr>
              <w:pStyle w:val="NoSpacing"/>
              <w:rPr>
                <w:rFonts w:cs="Segoe UI"/>
                <w:sz w:val="18"/>
              </w:rPr>
            </w:pPr>
          </w:p>
          <w:p w:rsidR="00457C1E" w:rsidRPr="00976373" w:rsidRDefault="00457C1E" w:rsidP="00F30EFC">
            <w:pPr>
              <w:pStyle w:val="NoSpacing"/>
              <w:rPr>
                <w:sz w:val="18"/>
                <w:szCs w:val="18"/>
              </w:rPr>
            </w:pPr>
          </w:p>
        </w:tc>
        <w:tc>
          <w:tcPr>
            <w:tcW w:w="270" w:type="dxa"/>
            <w:tcBorders>
              <w:right w:val="thinThickLargeGap" w:sz="12" w:space="0" w:color="002B5C"/>
            </w:tcBorders>
          </w:tcPr>
          <w:p w:rsidR="00457C1E" w:rsidRDefault="00457C1E" w:rsidP="00F30EFC">
            <w:pPr>
              <w:rPr>
                <w:b/>
                <w:color w:val="FFC425"/>
                <w:szCs w:val="20"/>
              </w:rPr>
            </w:pPr>
          </w:p>
        </w:tc>
        <w:tc>
          <w:tcPr>
            <w:tcW w:w="5508" w:type="dxa"/>
            <w:tcBorders>
              <w:top w:val="thinThickLargeGap" w:sz="12" w:space="0" w:color="002B5C"/>
              <w:left w:val="thinThickLargeGap" w:sz="12" w:space="0" w:color="002B5C"/>
              <w:bottom w:val="thinThickLargeGap" w:sz="12" w:space="0" w:color="002B5C"/>
              <w:right w:val="thickThinLargeGap" w:sz="12" w:space="0" w:color="002B5C"/>
            </w:tcBorders>
            <w:shd w:val="clear" w:color="auto" w:fill="F2F2F2" w:themeFill="background1" w:themeFillShade="F2"/>
          </w:tcPr>
          <w:p w:rsidR="00457C1E" w:rsidRPr="00E06E94" w:rsidRDefault="001C0110" w:rsidP="00F30EFC">
            <w:pPr>
              <w:pStyle w:val="Heading1"/>
              <w:spacing w:before="0" w:beforeAutospacing="0" w:after="0" w:afterAutospacing="0"/>
              <w:outlineLvl w:val="0"/>
              <w:rPr>
                <w:color w:val="FFC425"/>
                <w:sz w:val="36"/>
              </w:rPr>
            </w:pPr>
            <w:r>
              <w:t>Issue</w:t>
            </w:r>
            <w:bookmarkStart w:id="0" w:name="_GoBack"/>
            <w:bookmarkEnd w:id="0"/>
            <w:r w:rsidR="00457C1E" w:rsidRPr="00E06E94">
              <w:t>s to Consider and Discuss</w:t>
            </w:r>
          </w:p>
          <w:p w:rsidR="00457C1E" w:rsidRPr="00EE6F04" w:rsidRDefault="00457C1E" w:rsidP="00457C1E">
            <w:pPr>
              <w:pStyle w:val="ListParagraph"/>
              <w:numPr>
                <w:ilvl w:val="0"/>
                <w:numId w:val="2"/>
              </w:numPr>
              <w:spacing w:before="0" w:after="0"/>
              <w:rPr>
                <w:sz w:val="18"/>
                <w:szCs w:val="18"/>
              </w:rPr>
            </w:pPr>
            <w:r w:rsidRPr="00EE6F04">
              <w:rPr>
                <w:sz w:val="18"/>
                <w:szCs w:val="18"/>
              </w:rPr>
              <w:t>Is your entrance separated from your closing rooms and workspaces by a door, a receptionist or some other form of protection?</w:t>
            </w:r>
          </w:p>
          <w:p w:rsidR="00457C1E" w:rsidRPr="00EE6F04" w:rsidRDefault="00457C1E" w:rsidP="00457C1E">
            <w:pPr>
              <w:pStyle w:val="ListParagraph"/>
              <w:numPr>
                <w:ilvl w:val="0"/>
                <w:numId w:val="2"/>
              </w:numPr>
              <w:spacing w:before="0" w:after="0"/>
              <w:rPr>
                <w:sz w:val="18"/>
                <w:szCs w:val="18"/>
              </w:rPr>
            </w:pPr>
            <w:r w:rsidRPr="00EE6F04">
              <w:rPr>
                <w:sz w:val="18"/>
                <w:szCs w:val="18"/>
              </w:rPr>
              <w:t xml:space="preserve">Where is your server located?  Is it isolated in a locked closet, room or other area with limited access?  </w:t>
            </w:r>
          </w:p>
          <w:p w:rsidR="00457C1E" w:rsidRPr="00EE6F04" w:rsidRDefault="00457C1E" w:rsidP="00457C1E">
            <w:pPr>
              <w:pStyle w:val="ListParagraph"/>
              <w:numPr>
                <w:ilvl w:val="0"/>
                <w:numId w:val="2"/>
              </w:numPr>
              <w:spacing w:before="0" w:after="0"/>
              <w:rPr>
                <w:sz w:val="18"/>
                <w:szCs w:val="18"/>
              </w:rPr>
            </w:pPr>
            <w:r w:rsidRPr="00EE6F04">
              <w:rPr>
                <w:sz w:val="18"/>
                <w:szCs w:val="18"/>
              </w:rPr>
              <w:t xml:space="preserve">Who has access to the areas that have private/confidential information?  Consider cleaning services, repair technicians, realtors, other clients and other third parties. </w:t>
            </w:r>
            <w:r w:rsidRPr="00EE6F04">
              <w:rPr>
                <w:color w:val="000000"/>
                <w:sz w:val="18"/>
                <w:szCs w:val="18"/>
              </w:rPr>
              <w:t>Do vendors, such as janitorial services, water and coffee suppliers, etc. have access to areas that have private/confidential information in use?</w:t>
            </w:r>
          </w:p>
          <w:p w:rsidR="00457C1E" w:rsidRDefault="00457C1E" w:rsidP="00457C1E">
            <w:pPr>
              <w:pStyle w:val="ListParagraph"/>
              <w:numPr>
                <w:ilvl w:val="0"/>
                <w:numId w:val="2"/>
              </w:numPr>
              <w:spacing w:before="0" w:after="0"/>
              <w:rPr>
                <w:sz w:val="18"/>
                <w:szCs w:val="18"/>
              </w:rPr>
            </w:pPr>
            <w:r w:rsidRPr="00EE6F04">
              <w:rPr>
                <w:sz w:val="18"/>
                <w:szCs w:val="18"/>
              </w:rPr>
              <w:t>Do you have a “clean desk” policy?</w:t>
            </w:r>
          </w:p>
          <w:p w:rsidR="00457C1E" w:rsidRPr="00EE6F04" w:rsidRDefault="00457C1E" w:rsidP="00457C1E">
            <w:pPr>
              <w:pStyle w:val="ListParagraph"/>
              <w:numPr>
                <w:ilvl w:val="0"/>
                <w:numId w:val="2"/>
              </w:numPr>
              <w:spacing w:before="0" w:after="0"/>
              <w:rPr>
                <w:sz w:val="18"/>
                <w:szCs w:val="18"/>
              </w:rPr>
            </w:pPr>
            <w:r>
              <w:rPr>
                <w:sz w:val="18"/>
                <w:szCs w:val="18"/>
              </w:rPr>
              <w:t xml:space="preserve">Do you have a proprietary email address?  Do you assure </w:t>
            </w:r>
            <w:r w:rsidRPr="00E9401D">
              <w:rPr>
                <w:i/>
                <w:sz w:val="18"/>
                <w:szCs w:val="18"/>
              </w:rPr>
              <w:t>no</w:t>
            </w:r>
            <w:r>
              <w:rPr>
                <w:i/>
                <w:sz w:val="18"/>
                <w:szCs w:val="18"/>
              </w:rPr>
              <w:t xml:space="preserve"> </w:t>
            </w:r>
            <w:r w:rsidRPr="00E9401D">
              <w:rPr>
                <w:i/>
                <w:sz w:val="18"/>
                <w:szCs w:val="18"/>
              </w:rPr>
              <w:t>one</w:t>
            </w:r>
            <w:r>
              <w:rPr>
                <w:sz w:val="18"/>
                <w:szCs w:val="18"/>
              </w:rPr>
              <w:t xml:space="preserve"> in your firm shares client NPI on a public network such as using their private </w:t>
            </w:r>
            <w:proofErr w:type="spellStart"/>
            <w:r>
              <w:rPr>
                <w:sz w:val="18"/>
                <w:szCs w:val="18"/>
              </w:rPr>
              <w:t>gmail</w:t>
            </w:r>
            <w:proofErr w:type="spellEnd"/>
            <w:r>
              <w:rPr>
                <w:sz w:val="18"/>
                <w:szCs w:val="18"/>
              </w:rPr>
              <w:t xml:space="preserve">, </w:t>
            </w:r>
            <w:proofErr w:type="spellStart"/>
            <w:r>
              <w:rPr>
                <w:sz w:val="18"/>
                <w:szCs w:val="18"/>
              </w:rPr>
              <w:t>hotmail</w:t>
            </w:r>
            <w:proofErr w:type="spellEnd"/>
            <w:r>
              <w:rPr>
                <w:sz w:val="18"/>
                <w:szCs w:val="18"/>
              </w:rPr>
              <w:t>, yahoo or AOL email?</w:t>
            </w:r>
          </w:p>
          <w:p w:rsidR="00457C1E" w:rsidRDefault="00457C1E" w:rsidP="00457C1E">
            <w:pPr>
              <w:pStyle w:val="ListParagraph"/>
              <w:numPr>
                <w:ilvl w:val="0"/>
                <w:numId w:val="2"/>
              </w:numPr>
              <w:spacing w:before="0" w:after="0"/>
              <w:rPr>
                <w:rFonts w:cs="Segoe UI"/>
                <w:sz w:val="18"/>
              </w:rPr>
            </w:pPr>
            <w:r>
              <w:rPr>
                <w:rFonts w:cs="Segoe UI"/>
                <w:sz w:val="18"/>
              </w:rPr>
              <w:t>Do you meet with clients in a conference room rather than your office?  Are other clients’ matters visible?  Do other parties have access to a closing file if you leave the room?</w:t>
            </w:r>
          </w:p>
          <w:p w:rsidR="00457C1E" w:rsidRPr="004758A6" w:rsidRDefault="00457C1E" w:rsidP="00457C1E">
            <w:pPr>
              <w:pStyle w:val="ListParagraph"/>
              <w:numPr>
                <w:ilvl w:val="0"/>
                <w:numId w:val="2"/>
              </w:numPr>
              <w:spacing w:before="0" w:after="0"/>
              <w:rPr>
                <w:rFonts w:cs="Segoe UI"/>
                <w:sz w:val="18"/>
              </w:rPr>
            </w:pPr>
            <w:r w:rsidRPr="004758A6">
              <w:rPr>
                <w:rFonts w:cs="Segoe UI"/>
                <w:sz w:val="18"/>
              </w:rPr>
              <w:t xml:space="preserve">Could an employee </w:t>
            </w:r>
            <w:r>
              <w:rPr>
                <w:rFonts w:cs="Segoe UI"/>
                <w:sz w:val="18"/>
              </w:rPr>
              <w:t xml:space="preserve">or others </w:t>
            </w:r>
            <w:r w:rsidRPr="004758A6">
              <w:rPr>
                <w:rFonts w:cs="Segoe UI"/>
                <w:sz w:val="18"/>
              </w:rPr>
              <w:t>upload or download data using a portable memory device?</w:t>
            </w:r>
          </w:p>
          <w:p w:rsidR="00457C1E" w:rsidRPr="004758A6" w:rsidRDefault="00457C1E" w:rsidP="00457C1E">
            <w:pPr>
              <w:pStyle w:val="ListParagraph"/>
              <w:numPr>
                <w:ilvl w:val="0"/>
                <w:numId w:val="2"/>
              </w:numPr>
              <w:spacing w:before="0" w:after="0"/>
              <w:rPr>
                <w:rFonts w:cs="Segoe UI"/>
                <w:sz w:val="18"/>
              </w:rPr>
            </w:pPr>
            <w:r w:rsidRPr="004758A6">
              <w:rPr>
                <w:rFonts w:cs="Segoe UI"/>
                <w:sz w:val="18"/>
              </w:rPr>
              <w:t>How do you dispose of paper records?</w:t>
            </w:r>
          </w:p>
          <w:p w:rsidR="00457C1E" w:rsidRPr="004758A6" w:rsidRDefault="00457C1E" w:rsidP="00457C1E">
            <w:pPr>
              <w:pStyle w:val="ListParagraph"/>
              <w:numPr>
                <w:ilvl w:val="0"/>
                <w:numId w:val="2"/>
              </w:numPr>
              <w:spacing w:before="0" w:after="0"/>
              <w:rPr>
                <w:rFonts w:cs="Segoe UI"/>
                <w:sz w:val="18"/>
              </w:rPr>
            </w:pPr>
            <w:r w:rsidRPr="004758A6">
              <w:rPr>
                <w:rFonts w:cs="Segoe UI"/>
                <w:sz w:val="18"/>
              </w:rPr>
              <w:t>What would happen in the event of a natural disaster – flood, hurricane or accidental disaster (power outage, sinkhole, fire</w:t>
            </w:r>
            <w:r>
              <w:rPr>
                <w:rFonts w:cs="Segoe UI"/>
                <w:sz w:val="18"/>
              </w:rPr>
              <w:t>, vehicle impact to building</w:t>
            </w:r>
            <w:r w:rsidRPr="004758A6">
              <w:rPr>
                <w:rFonts w:cs="Segoe UI"/>
                <w:sz w:val="18"/>
              </w:rPr>
              <w:t>)</w:t>
            </w:r>
            <w:r>
              <w:rPr>
                <w:rFonts w:cs="Segoe UI"/>
                <w:sz w:val="18"/>
              </w:rPr>
              <w:t>?</w:t>
            </w:r>
          </w:p>
          <w:p w:rsidR="00457C1E" w:rsidRDefault="00457C1E" w:rsidP="00457C1E">
            <w:pPr>
              <w:pStyle w:val="ListParagraph"/>
              <w:numPr>
                <w:ilvl w:val="0"/>
                <w:numId w:val="2"/>
              </w:numPr>
              <w:spacing w:before="0" w:after="0"/>
              <w:rPr>
                <w:rFonts w:cs="Segoe UI"/>
                <w:sz w:val="18"/>
              </w:rPr>
            </w:pPr>
            <w:r w:rsidRPr="004758A6">
              <w:rPr>
                <w:rFonts w:cs="Segoe UI"/>
                <w:sz w:val="18"/>
              </w:rPr>
              <w:t>What does your current insurance cover in the event of a disaster?</w:t>
            </w:r>
            <w:r>
              <w:rPr>
                <w:rFonts w:cs="Segoe UI"/>
                <w:sz w:val="18"/>
              </w:rPr>
              <w:t xml:space="preserve">  Research various insurance coverages available.  Do you need to adjust your coverage?</w:t>
            </w:r>
          </w:p>
          <w:p w:rsidR="00457C1E" w:rsidRDefault="00457C1E" w:rsidP="00F30EFC">
            <w:pPr>
              <w:pStyle w:val="Heading1"/>
              <w:spacing w:before="0" w:beforeAutospacing="0" w:after="0" w:afterAutospacing="0"/>
              <w:outlineLvl w:val="0"/>
            </w:pPr>
            <w:r>
              <w:t>Ethics opinions</w:t>
            </w:r>
          </w:p>
          <w:p w:rsidR="00457C1E" w:rsidRDefault="00457C1E" w:rsidP="00457C1E">
            <w:pPr>
              <w:pStyle w:val="Heading1"/>
              <w:numPr>
                <w:ilvl w:val="0"/>
                <w:numId w:val="3"/>
              </w:numPr>
              <w:spacing w:before="0" w:beforeAutospacing="0" w:after="0" w:afterAutospacing="0"/>
              <w:outlineLvl w:val="0"/>
              <w:rPr>
                <w:sz w:val="18"/>
                <w:szCs w:val="18"/>
              </w:rPr>
            </w:pPr>
            <w:r>
              <w:rPr>
                <w:sz w:val="18"/>
                <w:szCs w:val="18"/>
              </w:rPr>
              <w:t>Rule 1.16, Confidentiality of Information, Revised Rules of Professional Conduct, Reasonable precautions and expectation of privacy, Comment 18</w:t>
            </w:r>
          </w:p>
          <w:p w:rsidR="00457C1E" w:rsidRPr="00B219DC" w:rsidRDefault="00457C1E" w:rsidP="00457C1E">
            <w:pPr>
              <w:pStyle w:val="Heading1"/>
              <w:numPr>
                <w:ilvl w:val="0"/>
                <w:numId w:val="3"/>
              </w:numPr>
              <w:spacing w:before="0" w:beforeAutospacing="0" w:after="0" w:afterAutospacing="0"/>
              <w:outlineLvl w:val="0"/>
              <w:rPr>
                <w:sz w:val="18"/>
                <w:szCs w:val="18"/>
              </w:rPr>
            </w:pPr>
            <w:r>
              <w:rPr>
                <w:sz w:val="18"/>
                <w:szCs w:val="18"/>
              </w:rPr>
              <w:t>Using outside software vendors, including banks, 2011 FEO 6 and 2011 FEO 7</w:t>
            </w:r>
          </w:p>
          <w:p w:rsidR="00457C1E" w:rsidRDefault="00457C1E" w:rsidP="00457C1E">
            <w:pPr>
              <w:pStyle w:val="Heading1"/>
              <w:numPr>
                <w:ilvl w:val="0"/>
                <w:numId w:val="3"/>
              </w:numPr>
              <w:spacing w:before="0" w:beforeAutospacing="0" w:after="0" w:afterAutospacing="0"/>
              <w:outlineLvl w:val="0"/>
              <w:rPr>
                <w:sz w:val="18"/>
                <w:szCs w:val="18"/>
              </w:rPr>
            </w:pPr>
            <w:r>
              <w:rPr>
                <w:sz w:val="18"/>
                <w:szCs w:val="18"/>
              </w:rPr>
              <w:t>Recycling, RPC133</w:t>
            </w:r>
          </w:p>
          <w:p w:rsidR="00457C1E" w:rsidRDefault="00457C1E" w:rsidP="00457C1E">
            <w:pPr>
              <w:pStyle w:val="Heading1"/>
              <w:numPr>
                <w:ilvl w:val="0"/>
                <w:numId w:val="3"/>
              </w:numPr>
              <w:spacing w:before="0" w:beforeAutospacing="0" w:after="0" w:afterAutospacing="0"/>
              <w:outlineLvl w:val="0"/>
              <w:rPr>
                <w:sz w:val="18"/>
                <w:szCs w:val="18"/>
              </w:rPr>
            </w:pPr>
            <w:r>
              <w:rPr>
                <w:sz w:val="18"/>
                <w:szCs w:val="18"/>
              </w:rPr>
              <w:lastRenderedPageBreak/>
              <w:t>Disposal of client files, RPC 209</w:t>
            </w:r>
          </w:p>
          <w:p w:rsidR="00457C1E" w:rsidRDefault="00457C1E" w:rsidP="00457C1E">
            <w:pPr>
              <w:pStyle w:val="Heading1"/>
              <w:numPr>
                <w:ilvl w:val="0"/>
                <w:numId w:val="3"/>
              </w:numPr>
              <w:spacing w:before="0" w:beforeAutospacing="0" w:after="0" w:afterAutospacing="0"/>
              <w:outlineLvl w:val="0"/>
              <w:rPr>
                <w:sz w:val="18"/>
                <w:szCs w:val="18"/>
              </w:rPr>
            </w:pPr>
            <w:r>
              <w:rPr>
                <w:sz w:val="18"/>
                <w:szCs w:val="18"/>
              </w:rPr>
              <w:t>Email, RPC215, 2009 FEO 1</w:t>
            </w:r>
          </w:p>
          <w:p w:rsidR="00457C1E" w:rsidRDefault="00457C1E" w:rsidP="00457C1E">
            <w:pPr>
              <w:pStyle w:val="Heading1"/>
              <w:numPr>
                <w:ilvl w:val="0"/>
                <w:numId w:val="3"/>
              </w:numPr>
              <w:spacing w:before="0" w:beforeAutospacing="0" w:after="0" w:afterAutospacing="0"/>
              <w:outlineLvl w:val="0"/>
              <w:rPr>
                <w:sz w:val="18"/>
                <w:szCs w:val="18"/>
              </w:rPr>
            </w:pPr>
            <w:r>
              <w:rPr>
                <w:sz w:val="18"/>
                <w:szCs w:val="18"/>
              </w:rPr>
              <w:t>Cellphone, RPC 215</w:t>
            </w:r>
          </w:p>
          <w:p w:rsidR="00457C1E" w:rsidRDefault="00457C1E" w:rsidP="00457C1E">
            <w:pPr>
              <w:pStyle w:val="Heading1"/>
              <w:numPr>
                <w:ilvl w:val="0"/>
                <w:numId w:val="3"/>
              </w:numPr>
              <w:spacing w:before="0" w:beforeAutospacing="0" w:after="0" w:afterAutospacing="0"/>
              <w:outlineLvl w:val="0"/>
              <w:rPr>
                <w:sz w:val="18"/>
                <w:szCs w:val="18"/>
              </w:rPr>
            </w:pPr>
            <w:r>
              <w:rPr>
                <w:sz w:val="18"/>
                <w:szCs w:val="18"/>
              </w:rPr>
              <w:t>Website /internet storage, 2008 FEO 5</w:t>
            </w:r>
          </w:p>
          <w:p w:rsidR="00457C1E" w:rsidRDefault="00457C1E" w:rsidP="00457C1E">
            <w:pPr>
              <w:pStyle w:val="Heading1"/>
              <w:numPr>
                <w:ilvl w:val="0"/>
                <w:numId w:val="3"/>
              </w:numPr>
              <w:spacing w:before="0" w:beforeAutospacing="0" w:after="0" w:afterAutospacing="0"/>
              <w:outlineLvl w:val="0"/>
              <w:rPr>
                <w:sz w:val="18"/>
                <w:szCs w:val="18"/>
              </w:rPr>
            </w:pPr>
            <w:r>
              <w:rPr>
                <w:sz w:val="18"/>
                <w:szCs w:val="18"/>
              </w:rPr>
              <w:t>Software as a service 2011 FEO 6</w:t>
            </w:r>
          </w:p>
          <w:p w:rsidR="00457C1E" w:rsidRPr="004758A6" w:rsidRDefault="00457C1E" w:rsidP="00457C1E">
            <w:pPr>
              <w:pStyle w:val="ListParagraph"/>
              <w:spacing w:before="0" w:after="0"/>
              <w:ind w:left="360"/>
              <w:contextualSpacing w:val="0"/>
              <w:rPr>
                <w:rFonts w:cs="Segoe UI"/>
                <w:sz w:val="18"/>
              </w:rPr>
            </w:pPr>
          </w:p>
        </w:tc>
      </w:tr>
    </w:tbl>
    <w:p w:rsidR="00457C1E" w:rsidRDefault="00457C1E"/>
    <w:sectPr w:rsidR="00457C1E" w:rsidSect="00457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DD5"/>
    <w:multiLevelType w:val="hybridMultilevel"/>
    <w:tmpl w:val="A2B8D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C71066"/>
    <w:multiLevelType w:val="hybridMultilevel"/>
    <w:tmpl w:val="DC786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766160"/>
    <w:multiLevelType w:val="hybridMultilevel"/>
    <w:tmpl w:val="DE1E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27E4D"/>
    <w:multiLevelType w:val="hybridMultilevel"/>
    <w:tmpl w:val="4A66B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1E"/>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533A"/>
    <w:rsid w:val="00136FE5"/>
    <w:rsid w:val="0016013F"/>
    <w:rsid w:val="001718E4"/>
    <w:rsid w:val="0017410D"/>
    <w:rsid w:val="00191E29"/>
    <w:rsid w:val="001B3BB3"/>
    <w:rsid w:val="001C0110"/>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57C1E"/>
    <w:rsid w:val="00465D5E"/>
    <w:rsid w:val="0047080E"/>
    <w:rsid w:val="00477E57"/>
    <w:rsid w:val="00483842"/>
    <w:rsid w:val="004876E6"/>
    <w:rsid w:val="00490CEA"/>
    <w:rsid w:val="00492434"/>
    <w:rsid w:val="00496E69"/>
    <w:rsid w:val="004C2E49"/>
    <w:rsid w:val="004C4639"/>
    <w:rsid w:val="004D7F47"/>
    <w:rsid w:val="004E1B65"/>
    <w:rsid w:val="004F626E"/>
    <w:rsid w:val="005137CA"/>
    <w:rsid w:val="00513B82"/>
    <w:rsid w:val="00514837"/>
    <w:rsid w:val="00517376"/>
    <w:rsid w:val="005210DA"/>
    <w:rsid w:val="005238FD"/>
    <w:rsid w:val="00523B4B"/>
    <w:rsid w:val="00524050"/>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45C67"/>
    <w:rsid w:val="00650711"/>
    <w:rsid w:val="00654696"/>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C7AA1"/>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57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1E"/>
    <w:rPr>
      <w:rFonts w:ascii="Tahoma" w:hAnsi="Tahoma" w:cs="Tahoma"/>
      <w:sz w:val="16"/>
      <w:szCs w:val="16"/>
    </w:rPr>
  </w:style>
  <w:style w:type="character" w:customStyle="1" w:styleId="heading10">
    <w:name w:val="heading1"/>
    <w:basedOn w:val="DefaultParagraphFont"/>
    <w:rsid w:val="00457C1E"/>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457C1E"/>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457C1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57C1E"/>
    <w:rPr>
      <w:color w:val="0000FF"/>
      <w:u w:val="single"/>
    </w:rPr>
  </w:style>
  <w:style w:type="paragraph" w:styleId="ListParagraph">
    <w:name w:val="List Paragraph"/>
    <w:basedOn w:val="Normal"/>
    <w:uiPriority w:val="34"/>
    <w:qFormat/>
    <w:rsid w:val="00457C1E"/>
    <w:pPr>
      <w:spacing w:before="120" w:after="12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457C1E"/>
    <w:pPr>
      <w:spacing w:after="0" w:line="240" w:lineRule="auto"/>
    </w:pPr>
    <w:rPr>
      <w:rFonts w:ascii="Segoe UI" w:eastAsia="Calibri" w:hAnsi="Segoe UI" w:cs="Times New Roman"/>
      <w:sz w:val="20"/>
    </w:rPr>
  </w:style>
  <w:style w:type="table" w:styleId="TableGrid">
    <w:name w:val="Table Grid"/>
    <w:basedOn w:val="TableNormal"/>
    <w:uiPriority w:val="59"/>
    <w:rsid w:val="00457C1E"/>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57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1E"/>
    <w:rPr>
      <w:rFonts w:ascii="Tahoma" w:hAnsi="Tahoma" w:cs="Tahoma"/>
      <w:sz w:val="16"/>
      <w:szCs w:val="16"/>
    </w:rPr>
  </w:style>
  <w:style w:type="character" w:customStyle="1" w:styleId="heading10">
    <w:name w:val="heading1"/>
    <w:basedOn w:val="DefaultParagraphFont"/>
    <w:rsid w:val="00457C1E"/>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457C1E"/>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457C1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57C1E"/>
    <w:rPr>
      <w:color w:val="0000FF"/>
      <w:u w:val="single"/>
    </w:rPr>
  </w:style>
  <w:style w:type="paragraph" w:styleId="ListParagraph">
    <w:name w:val="List Paragraph"/>
    <w:basedOn w:val="Normal"/>
    <w:uiPriority w:val="34"/>
    <w:qFormat/>
    <w:rsid w:val="00457C1E"/>
    <w:pPr>
      <w:spacing w:before="120" w:after="12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457C1E"/>
    <w:pPr>
      <w:spacing w:after="0" w:line="240" w:lineRule="auto"/>
    </w:pPr>
    <w:rPr>
      <w:rFonts w:ascii="Segoe UI" w:eastAsia="Calibri" w:hAnsi="Segoe UI" w:cs="Times New Roman"/>
      <w:sz w:val="20"/>
    </w:rPr>
  </w:style>
  <w:style w:type="table" w:styleId="TableGrid">
    <w:name w:val="Table Grid"/>
    <w:basedOn w:val="TableNormal"/>
    <w:uiPriority w:val="59"/>
    <w:rsid w:val="00457C1E"/>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2014-03-16T20:44:00Z</dcterms:created>
  <dcterms:modified xsi:type="dcterms:W3CDTF">2014-03-16T21:11:00Z</dcterms:modified>
</cp:coreProperties>
</file>